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4"/>
          <w:tab w:val="left" w:pos="5309"/>
          <w:tab w:val="left" w:pos="6948"/>
          <w:tab w:val="left" w:pos="8880"/>
          <w:tab w:val="left" w:pos="9747"/>
        </w:tabs>
        <w:spacing w:after="0"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3254"/>
                <w:tab w:val="left" w:pos="5309"/>
                <w:tab w:val="left" w:pos="6948"/>
                <w:tab w:val="left" w:pos="8880"/>
                <w:tab w:val="left" w:pos="9747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Código e Nome do Componente: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EDC 1459 - Estágio docência na área de Ciências da Natureza e Matemática nas séries finais do Ensino Fundamental nas escolas do campo 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pos="3254"/>
                <w:tab w:val="left" w:pos="5309"/>
                <w:tab w:val="left" w:pos="6948"/>
                <w:tab w:val="left" w:pos="8880"/>
                <w:tab w:val="left" w:pos="9747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Carga Horária - Créditos: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90 h/a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3254"/>
                <w:tab w:val="left" w:pos="5309"/>
                <w:tab w:val="left" w:pos="6948"/>
                <w:tab w:val="left" w:pos="8880"/>
                <w:tab w:val="left" w:pos="9747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Ano/Semestre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 2022.1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pos="3254"/>
                <w:tab w:val="left" w:pos="5309"/>
                <w:tab w:val="left" w:pos="6948"/>
                <w:tab w:val="left" w:pos="8880"/>
                <w:tab w:val="left" w:pos="9747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Turma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 Girassol - 05334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1668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Professor/a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:André Taschetto Gomes, Elizandro Maurício Brick, Juliano Espezim Soares Faria e Keiciane Canabarro Drehmer-Marques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5293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Horários e Local de atendimento do professor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  Via agendamento prévio por email </w:t>
            </w:r>
          </w:p>
          <w:p w:rsidR="00000000" w:rsidDel="00000000" w:rsidP="00000000" w:rsidRDefault="00000000" w:rsidRPr="00000000" w14:paraId="00000008">
            <w:pPr>
              <w:tabs>
                <w:tab w:val="left" w:pos="5293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Keiciane: terça-feira- 14h às 17h</w:t>
            </w:r>
          </w:p>
          <w:p w:rsidR="00000000" w:rsidDel="00000000" w:rsidP="00000000" w:rsidRDefault="00000000" w:rsidRPr="00000000" w14:paraId="00000009">
            <w:pPr>
              <w:tabs>
                <w:tab w:val="left" w:pos="5293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Elizandro: quarta-feira- 8h às 10h.</w:t>
            </w:r>
          </w:p>
          <w:p w:rsidR="00000000" w:rsidDel="00000000" w:rsidP="00000000" w:rsidRDefault="00000000" w:rsidRPr="00000000" w14:paraId="0000000A">
            <w:pPr>
              <w:tabs>
                <w:tab w:val="left" w:pos="5293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André: segunda-feira - 14h às 18h.</w:t>
            </w:r>
          </w:p>
          <w:p w:rsidR="00000000" w:rsidDel="00000000" w:rsidP="00000000" w:rsidRDefault="00000000" w:rsidRPr="00000000" w14:paraId="0000000B">
            <w:pPr>
              <w:tabs>
                <w:tab w:val="left" w:pos="5293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Juliano: quarta-feira - 16h às 18h.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4026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E-mail do professor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 </w:t>
              <w:tab/>
            </w:r>
          </w:p>
          <w:p w:rsidR="00000000" w:rsidDel="00000000" w:rsidP="00000000" w:rsidRDefault="00000000" w:rsidRPr="00000000" w14:paraId="0000000D">
            <w:pPr>
              <w:tabs>
                <w:tab w:val="left" w:pos="4026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André: </w:t>
            </w:r>
            <w:hyperlink r:id="rId7">
              <w:r w:rsidDel="00000000" w:rsidR="00000000" w:rsidRPr="00000000">
                <w:rPr>
                  <w:rFonts w:ascii="Palatino Linotype" w:cs="Palatino Linotype" w:eastAsia="Palatino Linotype" w:hAnsi="Palatino Linotype"/>
                  <w:color w:val="1155cc"/>
                  <w:u w:val="single"/>
                  <w:rtl w:val="0"/>
                </w:rPr>
                <w:t xml:space="preserve">atg.andre@gmail.com</w:t>
              </w:r>
            </w:hyperlink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0E">
            <w:pPr>
              <w:tabs>
                <w:tab w:val="left" w:pos="4026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Elizandro: </w:t>
            </w:r>
            <w:hyperlink r:id="rId8">
              <w:r w:rsidDel="00000000" w:rsidR="00000000" w:rsidRPr="00000000">
                <w:rPr>
                  <w:rFonts w:ascii="Palatino Linotype" w:cs="Palatino Linotype" w:eastAsia="Palatino Linotype" w:hAnsi="Palatino Linotype"/>
                  <w:color w:val="1155cc"/>
                  <w:u w:val="single"/>
                  <w:rtl w:val="0"/>
                </w:rPr>
                <w:t xml:space="preserve">elizandromb@gmail.com</w:t>
              </w:r>
            </w:hyperlink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0F">
            <w:pPr>
              <w:tabs>
                <w:tab w:val="left" w:pos="4026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Juliano: </w:t>
            </w:r>
            <w:hyperlink r:id="rId9">
              <w:r w:rsidDel="00000000" w:rsidR="00000000" w:rsidRPr="00000000">
                <w:rPr>
                  <w:rFonts w:ascii="Palatino Linotype" w:cs="Palatino Linotype" w:eastAsia="Palatino Linotype" w:hAnsi="Palatino Linotype"/>
                  <w:color w:val="1155cc"/>
                  <w:u w:val="single"/>
                  <w:rtl w:val="0"/>
                </w:rPr>
                <w:t xml:space="preserve">professorjulianoespezim@gmail.com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4026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Keiciane: </w:t>
            </w:r>
            <w:hyperlink r:id="rId10">
              <w:r w:rsidDel="00000000" w:rsidR="00000000" w:rsidRPr="00000000">
                <w:rPr>
                  <w:rFonts w:ascii="Palatino Linotype" w:cs="Palatino Linotype" w:eastAsia="Palatino Linotype" w:hAnsi="Palatino Linotype"/>
                  <w:color w:val="1155cc"/>
                  <w:u w:val="single"/>
                  <w:rtl w:val="0"/>
                </w:rPr>
                <w:t xml:space="preserve">keiciane.marques@ufsc.br</w:t>
              </w:r>
            </w:hyperlink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026"/>
              </w:tabs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Website/blog/moodle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Palatino Linotype" w:cs="Palatino Linotype" w:eastAsia="Palatino Linotype" w:hAnsi="Palatino Linotype"/>
                  <w:color w:val="1155cc"/>
                  <w:u w:val="single"/>
                  <w:rtl w:val="0"/>
                </w:rPr>
                <w:t xml:space="preserve">https://moodle.ufsc.br/course/view.php?id=154195</w:t>
              </w:r>
            </w:hyperlink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1668"/>
        </w:tabs>
        <w:spacing w:after="0"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3254"/>
              </w:tabs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31849b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Monitores/estagiários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</w:t>
              <w:tab/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5293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Horários e Local de atendimento do monitor/estagiário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026"/>
              </w:tabs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E-mail do monitor/estagiário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Subsídios formativos para o exercício da docência na área de Ciências da Natureza (CN) e Matemática (MTM) nos anos finais do Ensino Fundamental. Estudo e contextualização. Docência em CN e MTM e projetos comunitários: compromisso político-pedagógico e pedagógico-político.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Objetivos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Elaborar e implementar  propostas exploratórias e introdutórias de ensino nos anos finais do ensino fundamental, na perspectiva da Educação do Campo, visando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articular conhecimentos específicos das áreas das Ciências da Natureza e Matemática com problemáticas advindas da realidade e integradas com a comunidade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OBJETIVOS ESPECÍFICOS: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pacing w:before="153" w:line="276" w:lineRule="auto"/>
              <w:ind w:left="720" w:right="288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Promover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aproximação e o reconhecimento da realidade dos/as estudantes dos anos finais do Ensino Fundamental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relação às Ciências da Natureza e Matemática.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left="720" w:right="288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Viabilizar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discussão, análise e investigação de temas, a partir da observação e da interlocução com fontes primárias e secundárias sobre a realidade local,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considerando os dados coletados e produzidos em fases anteriores.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left="720" w:right="288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Planejar e implementar atividades introdutórias e exploratórias de ensino, articulando conhecimentos de Ciências da Natureza e Matemática com temáticas definidas a partir da realidade.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left="720" w:right="288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Obter e organizar elementos, fruto das investigações, que subsidiem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planejamento do Estágio da próxima fase do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Metodologia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 processo de realização do estágio será orientado por pelo menos um dos docentes responsáveis pela disciplina que, junto com os grupos de estágio, realizará reuniões de orientação e acompanhamento das atividades de estágio realizadas ao longo do semestre.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 plataforma MOODLE será usada como um repositório dos materiais utilizados durante a disciplina.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 desenvolvimento da disciplina de estágio irá envolver: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Observação no Ensino Fundamental, nas disciplinas de Ciências e Matemática, totalizando 20 horas aula.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Regência no Ensino Fundamental, nas disciplinas de Ciências e Matemática, totalizando 04 horas aula.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Palatino Linotype" w:cs="Palatino Linotype" w:eastAsia="Palatino Linotype" w:hAnsi="Palatino Linotype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Planejamento das intervenções e elaboração de pré projeto de ensino, que implicará no trabalho presencial e/ou a distância entre professores orientadores e estagiários.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processo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iniciação à docência por área do conhecimento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nos anos finais do Ensino Fundamental na perspectiva da Educação do Campo.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observação da realidade local e da sala de aula e seu papel formativo e orientador ao planejamento.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Prática docente e o planejamento a partir da investigação da realidade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Aluno e o Professor como sujeitos do conhecimento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Avaliação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 avaliação da disciplina será composta da seguinte forma: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Np - Nota referente ao planejamento da regência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Nr - Nota referente à regência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Na - Nota referente à avaliação crítica da regência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Ni - Nota referente à avaliação da instituição (sobre as atividades realizadas durante todo o estágio).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Nota final =  </w:t>
            </w:r>
            <m:oMath>
              <m:rad>
                <m:radPr>
                  <m:ctrlPr>
                    <w:rPr>
                      <w:rFonts w:ascii="Arial" w:cs="Arial" w:eastAsia="Arial" w:hAnsi="Arial"/>
                      <w:b w:val="1"/>
                    </w:rPr>
                  </m:ctrlPr>
                </m:radPr>
                <m:deg>
                  <m:r>
                    <w:rPr>
                      <w:rFonts w:ascii="Arial" w:cs="Arial" w:eastAsia="Arial" w:hAnsi="Arial"/>
                      <w:b w:val="1"/>
                    </w:rPr>
                    <m:t xml:space="preserve">4</m:t>
                  </m:r>
                </m:deg>
                <m:e>
                  <m:r>
                    <w:rPr>
                      <w:rFonts w:ascii="Arial" w:cs="Arial" w:eastAsia="Arial" w:hAnsi="Arial"/>
                      <w:b w:val="1"/>
                    </w:rPr>
                    <m:t xml:space="preserve">Np</m:t>
                  </m:r>
                  <m:r>
                    <w:rPr>
                      <w:rFonts w:ascii="Arial" w:cs="Arial" w:eastAsia="Arial" w:hAnsi="Arial"/>
                      <w:b w:val="1"/>
                    </w:rPr>
                    <m:t>×</m:t>
                  </m:r>
                  <m:r>
                    <w:rPr>
                      <w:rFonts w:ascii="Arial" w:cs="Arial" w:eastAsia="Arial" w:hAnsi="Arial"/>
                      <w:b w:val="1"/>
                    </w:rPr>
                    <m:t xml:space="preserve">Nr</m:t>
                  </m:r>
                  <m:r>
                    <w:rPr>
                      <w:rFonts w:ascii="Arial" w:cs="Arial" w:eastAsia="Arial" w:hAnsi="Arial"/>
                      <w:b w:val="1"/>
                    </w:rPr>
                    <m:t>×</m:t>
                  </m:r>
                  <m:r>
                    <w:rPr>
                      <w:rFonts w:ascii="Arial" w:cs="Arial" w:eastAsia="Arial" w:hAnsi="Arial"/>
                      <w:b w:val="1"/>
                    </w:rPr>
                    <m:t xml:space="preserve">Na</m:t>
                  </m:r>
                  <m:r>
                    <w:rPr>
                      <w:rFonts w:ascii="Arial" w:cs="Arial" w:eastAsia="Arial" w:hAnsi="Arial"/>
                      <w:b w:val="1"/>
                    </w:rPr>
                    <m:t>×</m:t>
                  </m:r>
                  <m:r>
                    <w:rPr>
                      <w:rFonts w:ascii="Arial" w:cs="Arial" w:eastAsia="Arial" w:hAnsi="Arial"/>
                      <w:b w:val="1"/>
                    </w:rPr>
                    <m:t xml:space="preserve">Ni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Como se tratam de atividades que envolvem outra instituição, é fundamental seguirmos o cronograma elaborado e acordado com essas instituições. A não realização de alguma das atividades previstas compromete todo o trabalho e inviabiliza o aproveitamento na disciplina.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Recuperação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Como se trata de uma disciplina de Estágio, não haverá recuperação.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De acordo com o parágrafo 2 do artigo 70: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§ 2o - O aluno com frequência suficiente (FS) e média das notas de avaliações do semestre entre 3,0 (três) e 5,5(cinco vírgula cinco) terá direito a uma nova avaliação no final do semestre,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exceto nas disciplinas que envolvam Estágio Curricular, Prática de Ensino e Trabalho de Conclusão do Curso ou equivalente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, ou disciplinas de caráter prático que envolvam atividades de laboratório ou clínica definidas pelo Departamento e homologados pelo Colegiado de Curso, para as quais a possibilidade de nova avaliação ficará a critério do respectivo Colegiado do Curso. 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Gerais da PROGRAD de 24/02/2022 sobre o retorno das atividades presenciais dos cursos de Graduação: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De acordo com o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calendário acadêmico 2022,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aprovado primeiramente na CGRAD e em seguida pelo CUn, o semestre letivo 2022/1 será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presencial.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 semestre 2022/1 terá 16 semanas letivas, presenciais, iniciando-se em 18/04, devendo ser somados também os dias referentes  a  Semana de Integração Acadêmica da Graduação (dias 11, 12, 13, 14 e 16 de abril), considerados dias letivos para o semestre 2022.1, conforme o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Calendário Acadêmico 2022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O registro de frequência será efetuado sobre o total de semanas letivas, exigida a frequência mínima de 75%, considerando como dias frequentados as semanas de integração e acolhimento.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Para efeitos de complementação da carga-horária total das disciplinas, dentro das semanas letivas previstas pelo Calendário Acadêmico aprovado no CUn, apresentamos algumas possibilidades (embora a lista seja somente sugestiva, e possam existir outras), que poderão ser adotadas no planejamento das disciplinas, de acordo com critérios dos docentes e/ou diretrizes específicas que os cursos discutirem internamente: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ajustes nas horas semanais da disciplina, com a inclusão, por exemplo, de aulas extras (podendo ser utilizados os sábados e/ou contraturno das aulas), distribuição da carga a ser reposta através de moderados acréscimos no tempo de aula, durante alguns dias e/ou semanas (por exemplo: utilizar o tempo dos intervalos entre as aulas), entre outras possibilidades;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considerar as atividades realizadas na Semana de Integração Acadêmica da Graduação como carga horária  (ou seja: a carga referente a uma semana de aulas da disciplina);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inclusão da carga-horária de atividades extraclasse (como trabalhos, entregas de listas de exercícios, atividades de campo – nos cursos onde essa modalidade é prevista - etc.), visando complementação da carga horária da disciplina.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Observação: é importante enfatizar que não há previsão de utilização de conteúdos online (do tipo aulas síncronas/assíncronas por meios remotos) para os cursos de graduação presencial da UFSC, no período 2022/1, mesmo que sob a justificativa de complementação de carga horária, em razão de essa modalidade de ensino (remota e/ou híbrida) não estar regulamentada na graduação presencial da UFSC.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566.9291338582675" w:hanging="425.1968503937007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●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É importante que o discente informe-se sobre o Regulamento dos Cursos de Graduação da UFSC, para tanto, acesse a resolução 017/CUN/1997:</w:t>
            </w:r>
            <w:hyperlink r:id="rId14">
              <w:r w:rsidDel="00000000" w:rsidR="00000000" w:rsidRPr="00000000">
                <w:rPr>
                  <w:rFonts w:ascii="Palatino Linotype" w:cs="Palatino Linotype" w:eastAsia="Palatino Linotype" w:hAnsi="Palatino Linotyp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Palatino Linotype" w:cs="Palatino Linotype" w:eastAsia="Palatino Linotype" w:hAnsi="Palatino Linotype"/>
                  <w:u w:val="single"/>
                  <w:rtl w:val="0"/>
                </w:rPr>
                <w:t xml:space="preserve">http://antiga.ufsc.br/paginas/downloads/UFSC_Resolucao_N17_CUn97.pdf</w:t>
              </w:r>
            </w:hyperlink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566.9291338582675" w:hanging="425.1968503937007"/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●   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Gestante: informe-se sobre seus direitos assegurados na Lei 6.201 de 17 de abril de 1972 e procure a Coordenação do Curso.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566.9291338582675" w:hanging="425.196850393700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●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Necessidade de Atendimento domiciliar consultar a Resolução para Regime Domiciliar junto à Coordenação do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Bibliografia Básica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BASTOS, Fernando; NARDI, Roberto (org.). Formação de professores e práticas pedagógicas no ensino de ciências: contribuições da pesquisa na área. São Paulo: Escrituras Editora, 2008. – (Educação para a ciência: 8).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DELIZOICOV, D.; PERNANBUCO, M. M.; ANGOTI, J. A. Aluno: sujeito do conhecimento. In: DELIZOICOV, D.; PERNANBUCO, M. M.; ANGOTI, J. A. Educação em Ciências: fundamentos e métodos. São Paulo: Cortez, 2002. (pp. 255-298).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PIMENTA, S.G.; LIMA, L.L. S.M. Estágio e docência. São Paulo: cortez, 2004.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Bibliografia Complementar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D’AMBROSIO, S. B. Conteúdo e Metodologia na Formação de Professores. In: FIORENTINI e NACARATO (orgs.). Cultura, formação e desenvolvimento profissional de professores que ensinam Matemática. São Paulo: Musa Editora; Campinas, SP: GEPFPM-PRAPEMFE/UNICAMP, 2005. LIMA, M.S.L. Reflexão Sobre o Estágio/ Prática de ensino na formação de Professores. Diálogo Educ. Curitiba, v.8, n. 23 p. 195. 205, jan/abr. 2008.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CARVALHO, A.M.P.; GIL-PÉREZ, D. Formação de professores de Ciências: tendências e inovações. São Paulo: Cortez, 2011.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PIMENTA, S.G.; LIMA, L.L. S.M. Estágio e docência. São Paulo: cortez, 2004.</w:t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tabs>
                <w:tab w:val="center" w:pos="4419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SEARA, Izabel C. [et al] (orgs). Práticas pedagógicas e estágios: diálogos com a cultura escolar. Florianópolis: Letras Contemporâneas, 2008.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SILVA, A. F. G. A perspectiva freireana de formação na práxis da educação popular crítica. in: SILVA, A. F. G. A busca do tema gerador na práxis da educação popular. Curitiba: Editora Gráfica Popular,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885"/>
        <w:gridCol w:w="8025"/>
        <w:tblGridChange w:id="0">
          <w:tblGrid>
            <w:gridCol w:w="975"/>
            <w:gridCol w:w="885"/>
            <w:gridCol w:w="802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56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</w:tcPr>
          <w:p w:rsidR="00000000" w:rsidDel="00000000" w:rsidP="00000000" w:rsidRDefault="00000000" w:rsidRPr="00000000" w14:paraId="00000057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Cronograma: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Abril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SEMANA DE INTEGRAÇÃO (11 - 14 e 16)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TU1 (18-23)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TC1 (25-30)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Apresentação proposta de Estágio à Escola; Definições de uma turma de Ensino Fundamental e pesquisa para realização do Projeto de Estágio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Maio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TU2 (02-07)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TC2 (09-14)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Continuação da pesquisa para realização do Projeto de Estágio - identificação de temas/situações relevantes para a comunidade local dos estudantes da turma a partir da sondagem da estrutura escolar: biblioteca, laboratórios, materiais didáticos, etc..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TU3 (16-21)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TC3 (23-28)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Continuação da pesquisa para realização do Projeto de Estágio - Estudo preliminar do tema de relevância social local, levando em conta as atividades de observação.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TU4 (30-04)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Junho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TC4 (06-11)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Planejamento de prática de Ensino com a Turma de Ensino Fundamental definida - Diálogos e expansão das compreensões sobre os temas a partir das atividades de observação.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TU5 (13-16)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TC5 (20-25)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Regência Projeto de Estágio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TU6 (27-02)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Julho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TC6 (04-09)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Regência Projeto de Estágio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TU7 (11-16)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TC7 (18-22)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Avaliar a regência realizada, definir o tema, as unidades de ensino, conteúdos e referências para estágio em 2022.2 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TU8 (25-29)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Agosto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TC8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(01-03)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Avaliar a Prática realizada, definir o tema, as unidades de ensino, conteúdos e referências para estágio em 2022.2  </w:t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Palatino Linotype" w:cs="Palatino Linotype" w:eastAsia="Palatino Linotype" w:hAnsi="Palatino Linotype"/>
        <w:color w:val="000000"/>
        <w:sz w:val="18"/>
        <w:szCs w:val="18"/>
      </w:rPr>
    </w:pPr>
    <w:r w:rsidDel="00000000" w:rsidR="00000000" w:rsidRPr="00000000">
      <w:rPr>
        <w:rFonts w:ascii="Palatino Linotype" w:cs="Palatino Linotype" w:eastAsia="Palatino Linotype" w:hAnsi="Palatino Linotype"/>
        <w:color w:val="000000"/>
        <w:sz w:val="18"/>
        <w:szCs w:val="18"/>
        <w:rtl w:val="0"/>
      </w:rPr>
      <w:t xml:space="preserve">Página 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alatino Linotype" w:cs="Palatino Linotype" w:eastAsia="Palatino Linotype" w:hAnsi="Palatino Linotype"/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UNIVERSIDADE FEDERAL DE SANTA CATARINA - UFSC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2796540</wp:posOffset>
          </wp:positionH>
          <wp:positionV relativeFrom="paragraph">
            <wp:posOffset>0</wp:posOffset>
          </wp:positionV>
          <wp:extent cx="527050" cy="58352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3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de Ciências da Educação - CED</w:t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Departamento de Educação do Campo - EDC</w:t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Curso de Licenciatura em Educação do Campo</w:t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Campus Prof. João David Ferreira Lima – Trindade – CEP 88040-535 - Florianópolis / Santa Catarina / Brasil</w:t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Fone: (48) 3721-4489   edc@contato.ufsc.br</w:t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cs="Palatino Linotype" w:eastAsia="Palatino Linotype" w:hAnsi="Palatino Linotype"/>
        <w:b w:val="1"/>
        <w:color w:val="000000"/>
        <w:sz w:val="26"/>
        <w:szCs w:val="26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color w:val="000000"/>
        <w:sz w:val="26"/>
        <w:szCs w:val="26"/>
        <w:rtl w:val="0"/>
      </w:rPr>
      <w:t xml:space="preserve">PLANO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7583"/>
    <w:rPr>
      <w:rFonts w:cs="Times New Roma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2F758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F758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F7583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2F758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F7583"/>
    <w:rPr>
      <w:rFonts w:ascii="Calibri" w:cs="Times New Roman" w:eastAsia="Calibri" w:hAnsi="Calibri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oodle.ufsc.br/course/view.php?id=154195" TargetMode="External"/><Relationship Id="rId10" Type="http://schemas.openxmlformats.org/officeDocument/2006/relationships/hyperlink" Target="mailto:keiciane.marques@ufsc.br" TargetMode="External"/><Relationship Id="rId13" Type="http://schemas.openxmlformats.org/officeDocument/2006/relationships/hyperlink" Target="https://dae.ufsc.br/files/2021/11/R157-CUn_2021_Calend%C3%A1rio-Acad%C3%AAmico-de-Gradua%C3%A7%C3%A3o-2022.pdf" TargetMode="External"/><Relationship Id="rId12" Type="http://schemas.openxmlformats.org/officeDocument/2006/relationships/hyperlink" Target="https://dae.ufsc.br/files/2021/11/R157-CUn_2021_Calend%C3%A1rio-Acad%C3%AAmico-de-Gradua%C3%A7%C3%A3o-202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fessorjulianoespezim@gmail.com" TargetMode="External"/><Relationship Id="rId15" Type="http://schemas.openxmlformats.org/officeDocument/2006/relationships/hyperlink" Target="http://antiga.ufsc.br/paginas/downloads/UFSC_Resolucao_N17_CUn97.pdf" TargetMode="External"/><Relationship Id="rId14" Type="http://schemas.openxmlformats.org/officeDocument/2006/relationships/hyperlink" Target="http://antiga.ufsc.br/paginas/downloads/UFSC_Resolucao_N17_CUn97.pdf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g.andre@gmail.com" TargetMode="External"/><Relationship Id="rId8" Type="http://schemas.openxmlformats.org/officeDocument/2006/relationships/hyperlink" Target="mailto:elizandromb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BKHUULNrSXPGoZ0OOhLBAzSgw==">AMUW2mUAfsi0fyuVJlK48BsK8FjdA3uJ2RGJJD5IxUvYVstnzicXR5ly9/mY5emHgU2bstQAoajhSpfccfb87+lqQ4k5qB7A8u22DTYQjr/r2l9v+eeuqEk=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2022-03-08T20:17:00Z</dcterms:created>
  <dc:creator>Adriana Angelita Conceição</dc:creator>
</cp:coreProperties>
</file>